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ADF" w:rsidRPr="003E7B2E" w:rsidRDefault="00FB6441" w:rsidP="00FB6441">
      <w:pPr>
        <w:snapToGrid w:val="0"/>
        <w:spacing w:beforeLines="50" w:before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bookmarkStart w:id="0" w:name="OLE_LINK1"/>
      <w:bookmarkStart w:id="1" w:name="OLE_LINK2"/>
      <w:r>
        <w:rPr>
          <w:rFonts w:ascii="Times New Roman" w:hAnsi="Times New Roman" w:cs="Times New Roman" w:hint="eastAsia"/>
          <w:sz w:val="24"/>
          <w:szCs w:val="24"/>
        </w:rPr>
        <w:t>酶联</w:t>
      </w:r>
      <w:r w:rsidR="00C96ADF" w:rsidRPr="003E7B2E">
        <w:rPr>
          <w:rFonts w:ascii="Times New Roman" w:hAnsi="Times New Roman" w:cs="Times New Roman"/>
          <w:sz w:val="24"/>
          <w:szCs w:val="24"/>
        </w:rPr>
        <w:t>免疫分析方法基于抗原抗体特异性结合的原理，因此</w:t>
      </w:r>
      <w:r w:rsidR="00C96ADF">
        <w:rPr>
          <w:rFonts w:ascii="Times New Roman" w:hAnsi="Times New Roman" w:cs="Times New Roman" w:hint="eastAsia"/>
          <w:sz w:val="24"/>
          <w:szCs w:val="24"/>
        </w:rPr>
        <w:t>检测</w:t>
      </w:r>
      <w:r w:rsidR="00C96ADF" w:rsidRPr="003E7B2E">
        <w:rPr>
          <w:rFonts w:ascii="Times New Roman" w:hAnsi="Times New Roman" w:cs="Times New Roman"/>
          <w:sz w:val="24"/>
          <w:szCs w:val="24"/>
        </w:rPr>
        <w:t>特异性强、灵敏度高、所需样品量少</w:t>
      </w:r>
      <w:r w:rsidR="00C96ADF">
        <w:rPr>
          <w:rFonts w:ascii="Times New Roman" w:hAnsi="Times New Roman" w:cs="Times New Roman" w:hint="eastAsia"/>
          <w:sz w:val="24"/>
          <w:szCs w:val="24"/>
        </w:rPr>
        <w:t>，而且</w:t>
      </w:r>
      <w:r w:rsidR="00C96ADF" w:rsidRPr="003E7B2E">
        <w:rPr>
          <w:rFonts w:ascii="Times New Roman" w:hAnsi="Times New Roman" w:cs="Times New Roman"/>
          <w:sz w:val="24"/>
          <w:szCs w:val="24"/>
        </w:rPr>
        <w:t>操作简便、显色迅速、携带方便、结果判断直观、无需复杂仪器、对操作者的专业要求低。因此，免疫分析方法已经广泛应用于临床诊断、药物分析、食品安全筛查等领域。</w:t>
      </w:r>
    </w:p>
    <w:p w:rsidR="00C96ADF" w:rsidRDefault="00C96ADF" w:rsidP="00FB6441">
      <w:pPr>
        <w:snapToGrid w:val="0"/>
        <w:spacing w:beforeLines="50" w:before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3E7B2E">
        <w:rPr>
          <w:rFonts w:ascii="Times New Roman" w:hAnsi="Times New Roman" w:cs="Times New Roman"/>
          <w:sz w:val="24"/>
          <w:szCs w:val="24"/>
        </w:rPr>
        <w:t>日落黄是</w:t>
      </w:r>
      <w:r>
        <w:rPr>
          <w:rFonts w:ascii="Times New Roman" w:hAnsi="Times New Roman" w:cs="Times New Roman" w:hint="eastAsia"/>
          <w:sz w:val="24"/>
          <w:szCs w:val="24"/>
        </w:rPr>
        <w:t>一</w:t>
      </w:r>
      <w:r w:rsidRPr="003E7B2E">
        <w:rPr>
          <w:rFonts w:ascii="Times New Roman" w:hAnsi="Times New Roman" w:cs="Times New Roman"/>
          <w:sz w:val="24"/>
          <w:szCs w:val="24"/>
        </w:rPr>
        <w:t>种偶氮类合成色素，因其</w:t>
      </w:r>
      <w:r>
        <w:rPr>
          <w:rFonts w:ascii="Times New Roman" w:hAnsi="Times New Roman" w:cs="Times New Roman" w:hint="eastAsia"/>
          <w:sz w:val="24"/>
          <w:szCs w:val="24"/>
        </w:rPr>
        <w:t>水溶性好、耐光耐热、</w:t>
      </w:r>
      <w:r w:rsidRPr="003E7B2E">
        <w:rPr>
          <w:rFonts w:ascii="Times New Roman" w:hAnsi="Times New Roman" w:cs="Times New Roman"/>
          <w:sz w:val="24"/>
          <w:szCs w:val="24"/>
        </w:rPr>
        <w:t>性质稳定、价格低廉，广泛用于药物和食品的着色</w:t>
      </w:r>
      <w:r>
        <w:rPr>
          <w:rFonts w:ascii="Times New Roman" w:hAnsi="Times New Roman" w:cs="Times New Roman"/>
          <w:sz w:val="24"/>
          <w:szCs w:val="24"/>
        </w:rPr>
        <w:t>，我国对这</w:t>
      </w:r>
      <w:r w:rsidRPr="003E7B2E">
        <w:rPr>
          <w:rFonts w:ascii="Times New Roman" w:hAnsi="Times New Roman" w:cs="Times New Roman"/>
          <w:sz w:val="24"/>
          <w:szCs w:val="24"/>
        </w:rPr>
        <w:t>种</w:t>
      </w:r>
      <w:r>
        <w:rPr>
          <w:rFonts w:ascii="Times New Roman" w:hAnsi="Times New Roman" w:cs="Times New Roman" w:hint="eastAsia"/>
          <w:sz w:val="24"/>
          <w:szCs w:val="24"/>
        </w:rPr>
        <w:t>人工</w:t>
      </w:r>
      <w:r>
        <w:rPr>
          <w:rFonts w:ascii="Times New Roman" w:hAnsi="Times New Roman" w:cs="Times New Roman"/>
          <w:sz w:val="24"/>
          <w:szCs w:val="24"/>
        </w:rPr>
        <w:t>合成色素的最严格的限量要求</w:t>
      </w:r>
      <w:r w:rsidRPr="003E7B2E">
        <w:rPr>
          <w:rFonts w:ascii="Times New Roman" w:hAnsi="Times New Roman" w:cs="Times New Roman"/>
          <w:sz w:val="24"/>
          <w:szCs w:val="24"/>
        </w:rPr>
        <w:t>为</w:t>
      </w:r>
      <w:r w:rsidRPr="003E7B2E">
        <w:rPr>
          <w:rFonts w:ascii="Times New Roman" w:hAnsi="Times New Roman" w:cs="Times New Roman"/>
          <w:sz w:val="24"/>
          <w:szCs w:val="24"/>
        </w:rPr>
        <w:t>0.05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3E7B2E">
        <w:rPr>
          <w:rFonts w:ascii="Times New Roman" w:hAnsi="Times New Roman" w:cs="Times New Roman"/>
          <w:sz w:val="24"/>
          <w:szCs w:val="24"/>
        </w:rPr>
        <w:t>g/kg</w:t>
      </w:r>
      <w:r w:rsidRPr="003E7B2E">
        <w:rPr>
          <w:rFonts w:ascii="Times New Roman" w:hAnsi="Times New Roman" w:cs="Times New Roman"/>
          <w:sz w:val="24"/>
          <w:szCs w:val="24"/>
        </w:rPr>
        <w:t>。</w:t>
      </w:r>
      <w:r>
        <w:rPr>
          <w:rFonts w:ascii="Times New Roman" w:hAnsi="Times New Roman" w:cs="Times New Roman" w:hint="eastAsia"/>
          <w:sz w:val="24"/>
          <w:szCs w:val="24"/>
        </w:rPr>
        <w:t>日落黄具有一定的刺激性，不慎接触会刺激眼睛、呼吸系统及皮肤。长期</w:t>
      </w:r>
      <w:r w:rsidR="00E319EF">
        <w:rPr>
          <w:rFonts w:ascii="Times New Roman" w:hAnsi="Times New Roman" w:cs="Times New Roman" w:hint="eastAsia"/>
          <w:sz w:val="24"/>
          <w:szCs w:val="24"/>
        </w:rPr>
        <w:t>食</w:t>
      </w:r>
      <w:r>
        <w:rPr>
          <w:rFonts w:ascii="Times New Roman" w:hAnsi="Times New Roman" w:cs="Times New Roman" w:hint="eastAsia"/>
          <w:sz w:val="24"/>
          <w:szCs w:val="24"/>
        </w:rPr>
        <w:t>用超标添加日落黄的食品会严重伤害肝脏功能，影响儿童智力，导致多动症等行为障碍。因此，对日落黄用量的检测非常必要。目前，日落黄的检测方法主要包括</w:t>
      </w:r>
      <w:r>
        <w:rPr>
          <w:rFonts w:ascii="Times New Roman" w:hAnsi="Times New Roman" w:cs="Times New Roman" w:hint="eastAsia"/>
          <w:sz w:val="24"/>
          <w:szCs w:val="24"/>
        </w:rPr>
        <w:t>HPLC</w:t>
      </w:r>
      <w:r>
        <w:rPr>
          <w:rFonts w:ascii="Times New Roman" w:hAnsi="Times New Roman" w:cs="Times New Roman" w:hint="eastAsia"/>
          <w:sz w:val="24"/>
          <w:szCs w:val="24"/>
        </w:rPr>
        <w:t>、分光光度法、毛细管电泳法等。这些方法虽然具有其优势，但是也存在一定的问题，例如，</w:t>
      </w:r>
      <w:r w:rsidR="00813F06">
        <w:rPr>
          <w:rFonts w:ascii="Times New Roman" w:hAnsi="Times New Roman" w:cs="Times New Roman" w:hint="eastAsia"/>
          <w:sz w:val="24"/>
          <w:szCs w:val="24"/>
        </w:rPr>
        <w:t>仪器较大，不方便携带；样品处理方法复杂，普通人员不容易掌握，对操作人员的要求高；不适用于现场检测等。</w:t>
      </w:r>
      <w:bookmarkStart w:id="2" w:name="_GoBack"/>
      <w:bookmarkEnd w:id="2"/>
    </w:p>
    <w:p w:rsidR="002024E7" w:rsidRDefault="00813F06" w:rsidP="00FB6441">
      <w:pPr>
        <w:snapToGrid w:val="0"/>
        <w:spacing w:beforeLines="50" w:before="156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我们通过</w:t>
      </w:r>
      <w:r w:rsidR="00E668B0">
        <w:rPr>
          <w:rFonts w:ascii="Times New Roman" w:hAnsi="Times New Roman" w:cs="Times New Roman" w:hint="eastAsia"/>
          <w:sz w:val="24"/>
          <w:szCs w:val="24"/>
        </w:rPr>
        <w:t>化学合成的方法对日落黄的结构进行了一定的改造，赋予其一个羧基活性基团，有利于与载体蛋白偶联，通过动物免疫所得抗体特异性强，与多种结构类似物并无交叉，所建立的免疫分析方法</w:t>
      </w:r>
      <w:r w:rsidR="002024E7">
        <w:rPr>
          <w:rFonts w:ascii="Times New Roman" w:hAnsi="Times New Roman" w:cs="Times New Roman" w:hint="eastAsia"/>
          <w:sz w:val="24"/>
          <w:szCs w:val="24"/>
        </w:rPr>
        <w:t>灵敏度高，检测限达到了</w:t>
      </w:r>
      <w:r w:rsidR="002024E7">
        <w:rPr>
          <w:rFonts w:ascii="Times New Roman" w:hAnsi="Times New Roman" w:cs="Times New Roman" w:hint="eastAsia"/>
          <w:sz w:val="24"/>
          <w:szCs w:val="24"/>
        </w:rPr>
        <w:t>25</w:t>
      </w:r>
      <w:r w:rsidR="002024E7">
        <w:rPr>
          <w:rFonts w:ascii="Times New Roman" w:hAnsi="Times New Roman" w:cs="Times New Roman"/>
          <w:sz w:val="24"/>
          <w:szCs w:val="24"/>
        </w:rPr>
        <w:t xml:space="preserve"> </w:t>
      </w:r>
      <w:r w:rsidR="002024E7">
        <w:rPr>
          <w:rFonts w:ascii="Times New Roman" w:hAnsi="Times New Roman" w:cs="Times New Roman" w:hint="eastAsia"/>
          <w:sz w:val="24"/>
          <w:szCs w:val="24"/>
        </w:rPr>
        <w:t>pg</w:t>
      </w:r>
      <w:r w:rsidR="002024E7">
        <w:rPr>
          <w:rFonts w:ascii="Times New Roman" w:hAnsi="Times New Roman" w:cs="Times New Roman"/>
          <w:sz w:val="24"/>
          <w:szCs w:val="24"/>
        </w:rPr>
        <w:t>/mL</w:t>
      </w:r>
      <w:r w:rsidR="002024E7">
        <w:rPr>
          <w:rFonts w:ascii="Times New Roman" w:hAnsi="Times New Roman" w:cs="Times New Roman" w:hint="eastAsia"/>
          <w:sz w:val="24"/>
          <w:szCs w:val="24"/>
        </w:rPr>
        <w:t>，方法稳定重新性好，日内日间精密度小于</w:t>
      </w:r>
      <w:r w:rsidR="002024E7">
        <w:rPr>
          <w:rFonts w:ascii="Times New Roman" w:hAnsi="Times New Roman" w:cs="Times New Roman" w:hint="eastAsia"/>
          <w:sz w:val="24"/>
          <w:szCs w:val="24"/>
        </w:rPr>
        <w:t>12%</w:t>
      </w:r>
      <w:r w:rsidR="002024E7">
        <w:rPr>
          <w:rFonts w:ascii="Times New Roman" w:hAnsi="Times New Roman" w:cs="Times New Roman" w:hint="eastAsia"/>
          <w:sz w:val="24"/>
          <w:szCs w:val="24"/>
        </w:rPr>
        <w:t>。该方法灵敏度高、特异性强、</w:t>
      </w:r>
      <w:r w:rsidR="004B7989">
        <w:rPr>
          <w:rFonts w:ascii="Times New Roman" w:hAnsi="Times New Roman" w:cs="Times New Roman" w:hint="eastAsia"/>
          <w:sz w:val="24"/>
          <w:szCs w:val="24"/>
        </w:rPr>
        <w:t>样品前处理简单，为日落黄的快速检测提供了一种新的选择。</w:t>
      </w:r>
    </w:p>
    <w:p w:rsidR="004B7989" w:rsidRDefault="00FB6441" w:rsidP="00FB6441">
      <w:pPr>
        <w:snapToGrid w:val="0"/>
        <w:spacing w:beforeLines="50" w:before="156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FB644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D97944" wp14:editId="430E0191">
            <wp:extent cx="5274310" cy="1969366"/>
            <wp:effectExtent l="0" t="0" r="2540" b="0"/>
            <wp:docPr id="2" name="图片 2" descr="C:\Users\ruoshui5251\Desktop\2016年12月职称申报-尹永梅\新建文件夹\未标题-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uoshui5251\Desktop\2016年12月职称申报-尹永梅\新建文件夹\未标题-1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69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462E" w:rsidRPr="00FB6441" w:rsidRDefault="00C96ADF" w:rsidP="00FB6441">
      <w:pPr>
        <w:pStyle w:val="1"/>
        <w:tabs>
          <w:tab w:val="left" w:pos="425"/>
        </w:tabs>
        <w:snapToGrid w:val="0"/>
        <w:spacing w:beforeLines="50" w:before="156" w:line="360" w:lineRule="auto"/>
        <w:ind w:left="-2" w:firstLineChars="0" w:firstLine="0"/>
        <w:rPr>
          <w:rFonts w:ascii="Times New Roman" w:eastAsia="仿宋" w:hAnsi="Times New Roman" w:cs="Times New Roman"/>
          <w:szCs w:val="18"/>
        </w:rPr>
      </w:pPr>
      <w:r w:rsidRPr="003E7B2E">
        <w:rPr>
          <w:rFonts w:ascii="Times New Roman" w:eastAsia="仿宋" w:hAnsi="Times New Roman" w:cs="Times New Roman"/>
          <w:szCs w:val="18"/>
        </w:rPr>
        <w:t xml:space="preserve">Yue Xing, Meng Meng, Huyin Xue, Taichang Zhang, Yongmei Yin*, Rimo Xi*. Development of a polyclonal antibody-based enzyme-linked immunosorbent assay (ELISA) for detection of Sunset Yellow FCF in food samples. </w:t>
      </w:r>
      <w:r w:rsidRPr="003E7B2E">
        <w:rPr>
          <w:rFonts w:ascii="Times New Roman" w:eastAsia="仿宋" w:hAnsi="Times New Roman" w:cs="Times New Roman"/>
          <w:b/>
          <w:bCs/>
          <w:szCs w:val="18"/>
        </w:rPr>
        <w:t>Talanta</w:t>
      </w:r>
      <w:r w:rsidRPr="003E7B2E">
        <w:rPr>
          <w:rFonts w:ascii="Times New Roman" w:eastAsia="仿宋" w:hAnsi="Times New Roman" w:cs="Times New Roman"/>
          <w:szCs w:val="18"/>
        </w:rPr>
        <w:t xml:space="preserve">, 2012, 99: 125–131. (IF= 4.035) </w:t>
      </w:r>
      <w:bookmarkEnd w:id="0"/>
      <w:bookmarkEnd w:id="1"/>
    </w:p>
    <w:sectPr w:rsidR="00D8462E" w:rsidRPr="00FB64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45A" w:rsidRDefault="0012045A" w:rsidP="00C96ADF">
      <w:r>
        <w:separator/>
      </w:r>
    </w:p>
  </w:endnote>
  <w:endnote w:type="continuationSeparator" w:id="0">
    <w:p w:rsidR="0012045A" w:rsidRDefault="0012045A" w:rsidP="00C9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45A" w:rsidRDefault="0012045A" w:rsidP="00C96ADF">
      <w:r>
        <w:separator/>
      </w:r>
    </w:p>
  </w:footnote>
  <w:footnote w:type="continuationSeparator" w:id="0">
    <w:p w:rsidR="0012045A" w:rsidRDefault="0012045A" w:rsidP="00C96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78EA9"/>
    <w:multiLevelType w:val="singleLevel"/>
    <w:tmpl w:val="57978EA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8A7"/>
    <w:rsid w:val="0012045A"/>
    <w:rsid w:val="002024E7"/>
    <w:rsid w:val="004158A7"/>
    <w:rsid w:val="004B7989"/>
    <w:rsid w:val="005E529D"/>
    <w:rsid w:val="0077467B"/>
    <w:rsid w:val="00813F06"/>
    <w:rsid w:val="00C96ADF"/>
    <w:rsid w:val="00D8462E"/>
    <w:rsid w:val="00E319EF"/>
    <w:rsid w:val="00E668B0"/>
    <w:rsid w:val="00FB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DFCEF3"/>
  <w15:chartTrackingRefBased/>
  <w15:docId w15:val="{40320302-478D-4234-B706-4D5B3420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A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6A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6AD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6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6AD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96A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FEE0F-1AEE-4D28-A295-90577F8EE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ruoshui5251</dc:creator>
  <cp:keywords/>
  <dc:description/>
  <cp:lastModifiedBy>ruoshui5251</cp:lastModifiedBy>
  <cp:revision>6</cp:revision>
  <dcterms:created xsi:type="dcterms:W3CDTF">2016-12-04T00:50:00Z</dcterms:created>
  <dcterms:modified xsi:type="dcterms:W3CDTF">2016-12-04T02:37:00Z</dcterms:modified>
</cp:coreProperties>
</file>